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№05-</w:t>
      </w:r>
      <w:r>
        <w:rPr>
          <w:rFonts w:ascii="Times New Roman" w:eastAsia="Times New Roman" w:hAnsi="Times New Roman" w:cs="Times New Roman"/>
          <w:sz w:val="28"/>
          <w:szCs w:val="28"/>
        </w:rPr>
        <w:t>1932</w:t>
      </w:r>
      <w:r>
        <w:rPr>
          <w:rFonts w:ascii="Times New Roman" w:eastAsia="Times New Roman" w:hAnsi="Times New Roman" w:cs="Times New Roman"/>
          <w:sz w:val="28"/>
          <w:szCs w:val="28"/>
        </w:rPr>
        <w:t>/2606/2024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86MS0061-01-2024-008587-03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Эльданиза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дороге с двусторонним движением, имеющим четыре полосы,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выезд </w:t>
      </w:r>
      <w:r>
        <w:rPr>
          <w:rFonts w:ascii="Times New Roman" w:eastAsia="Times New Roman" w:hAnsi="Times New Roman" w:cs="Times New Roman"/>
          <w:sz w:val="28"/>
          <w:szCs w:val="28"/>
        </w:rPr>
        <w:t>и движение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предназначенн</w:t>
      </w:r>
      <w:r>
        <w:rPr>
          <w:rFonts w:ascii="Times New Roman" w:eastAsia="Times New Roman" w:hAnsi="Times New Roman" w:cs="Times New Roman"/>
          <w:sz w:val="28"/>
          <w:szCs w:val="28"/>
        </w:rPr>
        <w:t>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9.2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Аббасов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Аббасов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ХМ582935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 ИДПС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Госавтоинспекции МОМВД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-дислокация дорожных знаков и разметки;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N 1090 (с изм. и доп.)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9.2 ПДД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>
      <w:pPr>
        <w:spacing w:before="0" w:after="0"/>
        <w:jc w:val="both"/>
        <w:rPr>
          <w:sz w:val="34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15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знаков 3.20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"Обгон запрещен", </w:t>
      </w:r>
      <w:hyperlink r:id="rId4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"Обгон грузовым автомобилям запрещен", </w:t>
      </w:r>
      <w:hyperlink r:id="rId4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5.11.1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"Дорога с полосой для маршрутных транспортных средств", </w:t>
      </w:r>
      <w:hyperlink r:id="rId4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5.11.2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"Дорога с полосой для велосипедистов", </w:t>
      </w:r>
      <w:hyperlink r:id="rId4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5.15.7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hyperlink r:id="rId4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Roboto" w:eastAsia="Roboto" w:hAnsi="Roboto" w:cs="Roboto"/>
          <w:sz w:val="34"/>
          <w:szCs w:val="34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завершившего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</w:t>
      </w:r>
      <w:r>
        <w:rPr>
          <w:rFonts w:ascii="Times New Roman" w:eastAsia="Times New Roman" w:hAnsi="Times New Roman" w:cs="Times New Roman"/>
          <w:sz w:val="28"/>
          <w:szCs w:val="28"/>
        </w:rPr>
        <w:t>маневр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требований, также подлежат квалификации по 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Аббасов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Аббасов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ббасов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совершения, наличие отягчающего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Аббасов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лицу административное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КоАП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Эльданиза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на расчетный счет № 0310064300000001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 в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Тюмень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г.Тюмень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017102101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</w:t>
      </w:r>
      <w:r>
        <w:rPr>
          <w:rFonts w:ascii="Times New Roman" w:eastAsia="Times New Roman" w:hAnsi="Times New Roman" w:cs="Times New Roman"/>
          <w:sz w:val="28"/>
          <w:szCs w:val="28"/>
        </w:rPr>
        <w:t>945370000060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71710000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7206044276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720601001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 БК 188 116 011 230 100 01 140, УИН </w:t>
      </w:r>
      <w:r>
        <w:rPr>
          <w:rFonts w:ascii="Times New Roman" w:eastAsia="Times New Roman" w:hAnsi="Times New Roman" w:cs="Times New Roman"/>
          <w:sz w:val="28"/>
          <w:szCs w:val="28"/>
        </w:rPr>
        <w:t>188104</w:t>
      </w:r>
      <w:r>
        <w:rPr>
          <w:rFonts w:ascii="Times New Roman" w:eastAsia="Times New Roman" w:hAnsi="Times New Roman" w:cs="Times New Roman"/>
          <w:sz w:val="28"/>
          <w:szCs w:val="28"/>
        </w:rPr>
        <w:t>86240320017800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п.1.3 ст. 32.2 КоАП РФ при уплате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1932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CarNumbergrp-22rplc-18">
    <w:name w:val="cat-CarNumber grp-2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